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A3" w:rsidRPr="001C6EA3" w:rsidRDefault="001C6EA3" w:rsidP="001C6EA3">
      <w:pPr>
        <w:jc w:val="center"/>
        <w:rPr>
          <w:b/>
          <w:u w:val="single"/>
        </w:rPr>
      </w:pPr>
      <w:r w:rsidRPr="001C6EA3">
        <w:rPr>
          <w:b/>
          <w:u w:val="single"/>
        </w:rPr>
        <w:t>Abstract Submission for Maltese Cardiac Society Conference 2016</w:t>
      </w:r>
    </w:p>
    <w:p w:rsidR="001C6EA3" w:rsidRDefault="001C6EA3">
      <w:pPr>
        <w:rPr>
          <w:b/>
        </w:rPr>
      </w:pPr>
    </w:p>
    <w:p w:rsidR="001C6EA3" w:rsidRDefault="001C6EA3" w:rsidP="001C6EA3">
      <w:pPr>
        <w:jc w:val="center"/>
        <w:rPr>
          <w:b/>
          <w:i/>
        </w:rPr>
      </w:pPr>
      <w:r>
        <w:rPr>
          <w:b/>
        </w:rPr>
        <w:t xml:space="preserve">Title: </w:t>
      </w:r>
      <w:r w:rsidRPr="001C6EA3">
        <w:rPr>
          <w:b/>
          <w:i/>
        </w:rPr>
        <w:t>Transthoracic Echocardiogram Requests for Suspected Infective Endocarditis: A Local Perspective</w:t>
      </w:r>
    </w:p>
    <w:p w:rsidR="001C6EA3" w:rsidRDefault="001C6EA3" w:rsidP="001C6EA3">
      <w:pPr>
        <w:jc w:val="center"/>
        <w:rPr>
          <w:b/>
          <w:i/>
        </w:rPr>
      </w:pPr>
    </w:p>
    <w:p w:rsidR="001C6EA3" w:rsidRDefault="001C6EA3" w:rsidP="001C6EA3">
      <w:r>
        <w:rPr>
          <w:b/>
        </w:rPr>
        <w:t xml:space="preserve">Corresponding author: </w:t>
      </w:r>
      <w:r>
        <w:t>Trevor Tabone</w:t>
      </w:r>
      <w:r w:rsidR="00904359">
        <w:t xml:space="preserve"> (561591M)</w:t>
      </w:r>
    </w:p>
    <w:p w:rsidR="001C6EA3" w:rsidRDefault="001C6EA3" w:rsidP="001C6EA3">
      <w:r>
        <w:tab/>
        <w:t xml:space="preserve">Email: </w:t>
      </w:r>
      <w:hyperlink r:id="rId7" w:history="1">
        <w:r w:rsidRPr="00B91018">
          <w:rPr>
            <w:rStyle w:val="Hyperlink"/>
          </w:rPr>
          <w:t>trevor.tabone@gov.mt</w:t>
        </w:r>
      </w:hyperlink>
    </w:p>
    <w:p w:rsidR="001C6EA3" w:rsidRDefault="001C6EA3" w:rsidP="001C6EA3">
      <w:r>
        <w:tab/>
        <w:t>Mobile: 79689325/79003519</w:t>
      </w:r>
    </w:p>
    <w:p w:rsidR="001C6EA3" w:rsidRDefault="001C6EA3" w:rsidP="001C6EA3"/>
    <w:p w:rsidR="001C6EA3" w:rsidRPr="001C6EA3" w:rsidRDefault="001C6EA3" w:rsidP="001C6EA3">
      <w:pPr>
        <w:rPr>
          <w:b/>
        </w:rPr>
      </w:pPr>
      <w:r>
        <w:rPr>
          <w:b/>
        </w:rPr>
        <w:t xml:space="preserve">Co-authors: </w:t>
      </w:r>
      <w:r>
        <w:t xml:space="preserve">Daniele </w:t>
      </w:r>
      <w:proofErr w:type="spellStart"/>
      <w:r>
        <w:t>Lauretta</w:t>
      </w:r>
      <w:proofErr w:type="spellEnd"/>
      <w:r>
        <w:t xml:space="preserve"> </w:t>
      </w:r>
      <w:proofErr w:type="spellStart"/>
      <w:r>
        <w:t>Agius</w:t>
      </w:r>
      <w:proofErr w:type="spellEnd"/>
      <w:r>
        <w:t xml:space="preserve">; Francesca </w:t>
      </w:r>
      <w:proofErr w:type="spellStart"/>
      <w:r>
        <w:t>Spiteri</w:t>
      </w:r>
      <w:proofErr w:type="spellEnd"/>
      <w:r>
        <w:t xml:space="preserve">; Daniela </w:t>
      </w:r>
      <w:proofErr w:type="spellStart"/>
      <w:r>
        <w:t>Cassar</w:t>
      </w:r>
      <w:proofErr w:type="spellEnd"/>
      <w:r>
        <w:t xml:space="preserve"> Demarco; Robert G </w:t>
      </w:r>
      <w:proofErr w:type="spellStart"/>
      <w:r>
        <w:t>Xuereb</w:t>
      </w:r>
      <w:proofErr w:type="spellEnd"/>
      <w:r>
        <w:t xml:space="preserve">; </w:t>
      </w:r>
      <w:proofErr w:type="spellStart"/>
      <w:r>
        <w:t>Tonio</w:t>
      </w:r>
      <w:proofErr w:type="spellEnd"/>
      <w:r>
        <w:t xml:space="preserve"> </w:t>
      </w:r>
      <w:proofErr w:type="spellStart"/>
      <w:r>
        <w:t>Piscopo</w:t>
      </w:r>
      <w:proofErr w:type="spellEnd"/>
    </w:p>
    <w:p w:rsidR="001C6EA3" w:rsidRDefault="001C6EA3"/>
    <w:tbl>
      <w:tblPr>
        <w:tblW w:w="0" w:type="auto"/>
        <w:tblLook w:val="00A0"/>
      </w:tblPr>
      <w:tblGrid>
        <w:gridCol w:w="8676"/>
      </w:tblGrid>
      <w:tr w:rsidR="001C6EA3" w:rsidTr="001C6EA3">
        <w:trPr>
          <w:trHeight w:val="7804"/>
        </w:trPr>
        <w:tc>
          <w:tcPr>
            <w:tcW w:w="8522" w:type="dxa"/>
          </w:tcPr>
          <w:p w:rsidR="001C6EA3" w:rsidRDefault="001C6EA3" w:rsidP="00EC6D7E">
            <w:pPr>
              <w:pStyle w:val="normal0"/>
              <w:jc w:val="both"/>
            </w:pPr>
            <w:r>
              <w:rPr>
                <w:rFonts w:ascii="Times New Roman" w:eastAsia="Times New Roman" w:hAnsi="Times New Roman" w:cs="Times New Roman"/>
                <w:sz w:val="24"/>
                <w:szCs w:val="24"/>
                <w:u w:val="single"/>
              </w:rPr>
              <w:t>Background</w:t>
            </w:r>
          </w:p>
          <w:p w:rsidR="001C6EA3" w:rsidRDefault="001C6EA3" w:rsidP="00EC6D7E">
            <w:pPr>
              <w:pStyle w:val="normal0"/>
              <w:jc w:val="both"/>
            </w:pPr>
          </w:p>
          <w:p w:rsidR="001C6EA3" w:rsidRDefault="001C6EA3" w:rsidP="00EC6D7E">
            <w:pPr>
              <w:pStyle w:val="normal0"/>
              <w:ind w:firstLine="720"/>
              <w:jc w:val="both"/>
            </w:pPr>
            <w:r>
              <w:rPr>
                <w:rFonts w:ascii="Times New Roman" w:eastAsia="Times New Roman" w:hAnsi="Times New Roman" w:cs="Times New Roman"/>
                <w:sz w:val="24"/>
                <w:szCs w:val="24"/>
              </w:rPr>
              <w:t>Infective endocarditis (IE) is a diagnostically challenging, potentially fatal condition. Transthoracic echocardiography (TTE) is the recommended first-line imaging modality despite its relatively low sensitivity. This audit aims to gain a clinical and microbiological perspective into TTE requests for suspected IE in Mater Dei Hospital and to determine the local sensitivity and NPV (Negative Predictive Value) of initial TTE in suspected IE.</w:t>
            </w:r>
          </w:p>
          <w:p w:rsidR="001C6EA3" w:rsidRDefault="001C6EA3" w:rsidP="00EC6D7E">
            <w:pPr>
              <w:pStyle w:val="normal0"/>
              <w:jc w:val="both"/>
            </w:pPr>
          </w:p>
          <w:p w:rsidR="001C6EA3" w:rsidRDefault="001C6EA3" w:rsidP="00EC6D7E">
            <w:pPr>
              <w:pStyle w:val="normal0"/>
              <w:jc w:val="both"/>
            </w:pPr>
            <w:r>
              <w:rPr>
                <w:rFonts w:ascii="Times New Roman" w:eastAsia="Times New Roman" w:hAnsi="Times New Roman" w:cs="Times New Roman"/>
                <w:sz w:val="24"/>
                <w:szCs w:val="24"/>
                <w:u w:val="single"/>
              </w:rPr>
              <w:t>Method</w:t>
            </w:r>
            <w:r>
              <w:rPr>
                <w:rFonts w:ascii="Times New Roman" w:eastAsia="Times New Roman" w:hAnsi="Times New Roman" w:cs="Times New Roman"/>
                <w:sz w:val="24"/>
                <w:szCs w:val="24"/>
                <w:u w:val="single"/>
              </w:rPr>
              <w:br/>
            </w:r>
          </w:p>
          <w:p w:rsidR="001C6EA3" w:rsidRDefault="001C6EA3" w:rsidP="00EC6D7E">
            <w:pPr>
              <w:pStyle w:val="normal0"/>
              <w:ind w:firstLine="720"/>
              <w:jc w:val="both"/>
            </w:pPr>
            <w:r>
              <w:rPr>
                <w:rFonts w:ascii="Times New Roman" w:eastAsia="Times New Roman" w:hAnsi="Times New Roman" w:cs="Times New Roman"/>
                <w:sz w:val="24"/>
                <w:szCs w:val="24"/>
              </w:rPr>
              <w:t xml:space="preserve">Urgent TTEs for suspected IE requested between May &amp; December 2015 were selected (127 patients). TTE and TOE (trans-oesophageal echocardiogram) reports were obtained from </w:t>
            </w:r>
            <w:proofErr w:type="spellStart"/>
            <w:r>
              <w:rPr>
                <w:rFonts w:ascii="Times New Roman" w:eastAsia="Times New Roman" w:hAnsi="Times New Roman" w:cs="Times New Roman"/>
                <w:sz w:val="24"/>
                <w:szCs w:val="24"/>
              </w:rPr>
              <w:t>Xcelera</w:t>
            </w:r>
            <w:proofErr w:type="spellEnd"/>
            <w:r>
              <w:rPr>
                <w:rFonts w:ascii="Times New Roman" w:eastAsia="Times New Roman" w:hAnsi="Times New Roman" w:cs="Times New Roman"/>
                <w:sz w:val="24"/>
                <w:szCs w:val="24"/>
              </w:rPr>
              <w:t xml:space="preserve">, whilst </w:t>
            </w:r>
            <w:proofErr w:type="spellStart"/>
            <w:r>
              <w:rPr>
                <w:rFonts w:ascii="Times New Roman" w:eastAsia="Times New Roman" w:hAnsi="Times New Roman" w:cs="Times New Roman"/>
                <w:sz w:val="24"/>
                <w:szCs w:val="24"/>
              </w:rPr>
              <w:t>iSoft</w:t>
            </w:r>
            <w:proofErr w:type="spellEnd"/>
            <w:r>
              <w:rPr>
                <w:rFonts w:ascii="Times New Roman" w:eastAsia="Times New Roman" w:hAnsi="Times New Roman" w:cs="Times New Roman"/>
                <w:sz w:val="24"/>
                <w:szCs w:val="24"/>
              </w:rPr>
              <w:t xml:space="preserve"> Clinical Manager and Electronic Case Summary used to gather further data.</w:t>
            </w:r>
          </w:p>
          <w:p w:rsidR="001C6EA3" w:rsidRDefault="001C6EA3" w:rsidP="00EC6D7E">
            <w:pPr>
              <w:pStyle w:val="normal0"/>
              <w:jc w:val="both"/>
            </w:pPr>
          </w:p>
          <w:p w:rsidR="001C6EA3" w:rsidRDefault="001C6EA3" w:rsidP="00EC6D7E">
            <w:pPr>
              <w:pStyle w:val="normal0"/>
              <w:jc w:val="both"/>
            </w:pPr>
            <w:r>
              <w:rPr>
                <w:rFonts w:ascii="Times New Roman" w:eastAsia="Times New Roman" w:hAnsi="Times New Roman" w:cs="Times New Roman"/>
                <w:sz w:val="24"/>
                <w:szCs w:val="24"/>
                <w:u w:val="single"/>
              </w:rPr>
              <w:t>Standards Used</w:t>
            </w:r>
          </w:p>
          <w:p w:rsidR="001C6EA3" w:rsidRDefault="001C6EA3" w:rsidP="00EC6D7E">
            <w:pPr>
              <w:pStyle w:val="normal0"/>
              <w:jc w:val="both"/>
            </w:pPr>
          </w:p>
          <w:p w:rsidR="001C6EA3" w:rsidRDefault="001C6EA3" w:rsidP="00EC6D7E">
            <w:pPr>
              <w:pStyle w:val="normal0"/>
              <w:ind w:firstLine="720"/>
              <w:jc w:val="both"/>
            </w:pPr>
            <w:r>
              <w:rPr>
                <w:rFonts w:ascii="Times New Roman" w:eastAsia="Times New Roman" w:hAnsi="Times New Roman" w:cs="Times New Roman"/>
                <w:sz w:val="24"/>
                <w:szCs w:val="24"/>
              </w:rPr>
              <w:t xml:space="preserve">American Heart Association and European Society of Cardiology guidelines were used. </w:t>
            </w:r>
          </w:p>
          <w:p w:rsidR="001C6EA3" w:rsidRDefault="001C6EA3" w:rsidP="00EC6D7E">
            <w:pPr>
              <w:pStyle w:val="normal0"/>
              <w:jc w:val="both"/>
            </w:pPr>
          </w:p>
          <w:p w:rsidR="001C6EA3" w:rsidRDefault="001C6EA3" w:rsidP="00EC6D7E">
            <w:pPr>
              <w:pStyle w:val="normal0"/>
              <w:jc w:val="both"/>
            </w:pPr>
            <w:r>
              <w:rPr>
                <w:rFonts w:ascii="Times New Roman" w:eastAsia="Times New Roman" w:hAnsi="Times New Roman" w:cs="Times New Roman"/>
                <w:sz w:val="24"/>
                <w:szCs w:val="24"/>
                <w:u w:val="single"/>
              </w:rPr>
              <w:t>Results</w:t>
            </w:r>
          </w:p>
          <w:p w:rsidR="001C6EA3" w:rsidRDefault="001C6EA3" w:rsidP="00EC6D7E">
            <w:pPr>
              <w:pStyle w:val="normal0"/>
              <w:jc w:val="both"/>
            </w:pPr>
          </w:p>
          <w:p w:rsidR="001C6EA3" w:rsidRDefault="001C6EA3" w:rsidP="00EC6D7E">
            <w:pPr>
              <w:pStyle w:val="normal0"/>
              <w:ind w:firstLine="720"/>
              <w:jc w:val="both"/>
            </w:pPr>
            <w:r>
              <w:rPr>
                <w:rFonts w:ascii="Times New Roman" w:eastAsia="Times New Roman" w:hAnsi="Times New Roman" w:cs="Times New Roman"/>
                <w:sz w:val="24"/>
                <w:szCs w:val="24"/>
              </w:rPr>
              <w:t xml:space="preserve">Patients were classified according to TTE results into 3 categories: Negative (60.6%), Positive (5.5%) &amp; Equivocal (33.9%) TTE. The NPV of negative and equivocal TTE was 85.7% and 78.6% respectively. TTE sensitivity was 55% - comparable to Barton </w:t>
            </w:r>
            <w:r w:rsidRPr="00DF5819">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93% of patients had blood cultures taken. 48.3% were </w:t>
            </w:r>
            <w:proofErr w:type="spellStart"/>
            <w:r>
              <w:rPr>
                <w:rFonts w:ascii="Times New Roman" w:eastAsia="Times New Roman" w:hAnsi="Times New Roman" w:cs="Times New Roman"/>
                <w:sz w:val="24"/>
                <w:szCs w:val="24"/>
              </w:rPr>
              <w:t>bacteraemic</w:t>
            </w:r>
            <w:proofErr w:type="spellEnd"/>
            <w:r>
              <w:rPr>
                <w:rFonts w:ascii="Times New Roman" w:eastAsia="Times New Roman" w:hAnsi="Times New Roman" w:cs="Times New Roman"/>
                <w:sz w:val="24"/>
                <w:szCs w:val="24"/>
              </w:rPr>
              <w:t xml:space="preserve">, 43.9% of which had </w:t>
            </w:r>
            <w:r>
              <w:rPr>
                <w:rFonts w:ascii="Times New Roman" w:eastAsia="Times New Roman" w:hAnsi="Times New Roman" w:cs="Times New Roman"/>
                <w:i/>
                <w:sz w:val="24"/>
                <w:szCs w:val="24"/>
              </w:rPr>
              <w:t xml:space="preserve">Staphylococcus </w:t>
            </w:r>
            <w:proofErr w:type="spellStart"/>
            <w:r>
              <w:rPr>
                <w:rFonts w:ascii="Times New Roman" w:eastAsia="Times New Roman" w:hAnsi="Times New Roman" w:cs="Times New Roman"/>
                <w:i/>
                <w:sz w:val="24"/>
                <w:szCs w:val="24"/>
              </w:rPr>
              <w:t>aureus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1C6EA3" w:rsidRDefault="001C6EA3" w:rsidP="00EC6D7E">
            <w:pPr>
              <w:pStyle w:val="normal0"/>
              <w:jc w:val="both"/>
            </w:pPr>
          </w:p>
          <w:p w:rsidR="001C6EA3" w:rsidRDefault="001C6EA3" w:rsidP="00EC6D7E">
            <w:pPr>
              <w:pStyle w:val="normal0"/>
              <w:jc w:val="both"/>
            </w:pPr>
            <w:r>
              <w:rPr>
                <w:rFonts w:ascii="Times New Roman" w:eastAsia="Times New Roman" w:hAnsi="Times New Roman" w:cs="Times New Roman"/>
                <w:sz w:val="24"/>
                <w:szCs w:val="24"/>
                <w:u w:val="single"/>
              </w:rPr>
              <w:t>Discussion</w:t>
            </w:r>
          </w:p>
          <w:p w:rsidR="001C6EA3" w:rsidRDefault="001C6EA3" w:rsidP="00EC6D7E">
            <w:pPr>
              <w:pStyle w:val="normal0"/>
              <w:jc w:val="both"/>
            </w:pPr>
          </w:p>
          <w:p w:rsidR="001C6EA3" w:rsidRPr="008B7F5B" w:rsidRDefault="001C6EA3" w:rsidP="00EC6D7E">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TTE has its limitations and pitfalls and must be interpreted within the clinical context, given its low sensitivity rates. However, in patients with a low clinical suspicion of IE and negative TTE, IE may be excluded. Those with equivocal TTE and high clinical suspicion of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will benefit from TOE.</w:t>
            </w:r>
          </w:p>
          <w:p w:rsidR="001C6EA3" w:rsidRDefault="001C6EA3" w:rsidP="00EC6D7E">
            <w:pPr>
              <w:pStyle w:val="normal0"/>
              <w:jc w:val="both"/>
            </w:pPr>
          </w:p>
          <w:p w:rsidR="001C6EA3" w:rsidRDefault="001C6EA3" w:rsidP="00EC6D7E">
            <w:pPr>
              <w:pStyle w:val="normal0"/>
              <w:jc w:val="both"/>
            </w:pPr>
            <w:r>
              <w:rPr>
                <w:rFonts w:ascii="Times New Roman" w:eastAsia="Times New Roman" w:hAnsi="Times New Roman" w:cs="Times New Roman"/>
                <w:sz w:val="24"/>
                <w:szCs w:val="24"/>
                <w:u w:val="single"/>
              </w:rPr>
              <w:t>Key messages for recommendations</w:t>
            </w:r>
          </w:p>
          <w:p w:rsidR="001C6EA3" w:rsidRDefault="001C6EA3" w:rsidP="00EC6D7E">
            <w:pPr>
              <w:pStyle w:val="normal0"/>
              <w:jc w:val="both"/>
            </w:pPr>
          </w:p>
          <w:p w:rsidR="001C6EA3" w:rsidRDefault="001C6EA3" w:rsidP="001C6EA3">
            <w:pPr>
              <w:pStyle w:val="normal0"/>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Duke’s Criteria should be used to stratify patients into ‘Definite’, ‘Possible’, or ‘Rejected’ IE</w:t>
            </w:r>
          </w:p>
          <w:p w:rsidR="001C6EA3" w:rsidRDefault="001C6EA3" w:rsidP="001C6EA3">
            <w:pPr>
              <w:pStyle w:val="normal0"/>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F25C64">
              <w:rPr>
                <w:rFonts w:ascii="Times New Roman" w:eastAsia="Times New Roman" w:hAnsi="Times New Roman" w:cs="Times New Roman"/>
                <w:sz w:val="24"/>
                <w:szCs w:val="24"/>
              </w:rPr>
              <w:t xml:space="preserve">egative TTE and a low clinical suspicion for IE </w:t>
            </w:r>
            <w:proofErr w:type="gramStart"/>
            <w:r w:rsidRPr="00F25C64">
              <w:rPr>
                <w:rFonts w:ascii="Times New Roman" w:eastAsia="Times New Roman" w:hAnsi="Times New Roman" w:cs="Times New Roman"/>
                <w:sz w:val="24"/>
                <w:szCs w:val="24"/>
              </w:rPr>
              <w:t>warrants</w:t>
            </w:r>
            <w:proofErr w:type="gramEnd"/>
            <w:r w:rsidRPr="00F25C64">
              <w:rPr>
                <w:rFonts w:ascii="Times New Roman" w:eastAsia="Times New Roman" w:hAnsi="Times New Roman" w:cs="Times New Roman"/>
                <w:sz w:val="24"/>
                <w:szCs w:val="24"/>
              </w:rPr>
              <w:t xml:space="preserve"> consideration of an alternate diagnosis.</w:t>
            </w:r>
          </w:p>
          <w:p w:rsidR="001C6EA3" w:rsidRPr="00E4459B" w:rsidRDefault="001C6EA3" w:rsidP="001C6EA3">
            <w:pPr>
              <w:pStyle w:val="normal0"/>
              <w:widowControl w:val="0"/>
              <w:numPr>
                <w:ilvl w:val="0"/>
                <w:numId w:val="1"/>
              </w:numPr>
              <w:ind w:hanging="360"/>
              <w:contextualSpacing/>
              <w:jc w:val="both"/>
            </w:pPr>
            <w:r>
              <w:rPr>
                <w:rFonts w:ascii="Times New Roman" w:eastAsia="Times New Roman" w:hAnsi="Times New Roman" w:cs="Times New Roman"/>
                <w:sz w:val="24"/>
                <w:szCs w:val="24"/>
              </w:rPr>
              <w:t>Encouraging use of algorithms:</w:t>
            </w:r>
          </w:p>
          <w:p w:rsidR="001C6EA3" w:rsidRDefault="001C6EA3" w:rsidP="00EC6D7E">
            <w:pPr>
              <w:pStyle w:val="normal0"/>
              <w:widowControl w:val="0"/>
              <w:ind w:left="720"/>
              <w:contextualSpacing/>
              <w:jc w:val="both"/>
            </w:pPr>
          </w:p>
          <w:p w:rsidR="001C6EA3" w:rsidRDefault="001C6EA3" w:rsidP="00EC6D7E">
            <w:pPr>
              <w:pStyle w:val="normal0"/>
              <w:widowControl w:val="0"/>
            </w:pPr>
          </w:p>
          <w:p w:rsidR="001C6EA3" w:rsidRDefault="001C6EA3" w:rsidP="00EC6D7E">
            <w:pPr>
              <w:pStyle w:val="normal0"/>
              <w:widowControl w:val="0"/>
              <w:jc w:val="center"/>
            </w:pPr>
            <w:r>
              <w:rPr>
                <w:noProof/>
                <w:sz w:val="20"/>
                <w:szCs w:val="20"/>
              </w:rPr>
              <w:drawing>
                <wp:inline distT="0" distB="0" distL="0" distR="0">
                  <wp:extent cx="5348080" cy="3429627"/>
                  <wp:effectExtent l="19050" t="0" r="4970" b="0"/>
                  <wp:docPr id="2" name="Picture 1" descr="https://lh5.googleusercontent.com/TiJ4RJl8BZ-SaKBYxJlaT4ETY8Pjof_OLrSMOV5Qi-K9nWNmzzTo7uiT0mE2j9cKvfILNyKCvlUj3oDXY3bT5GF4ScRCJTDhZGeiCVqLJ3bb1LDd7IUDe_CRVGdryBCuUWrb-1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iJ4RJl8BZ-SaKBYxJlaT4ETY8Pjof_OLrSMOV5Qi-K9nWNmzzTo7uiT0mE2j9cKvfILNyKCvlUj3oDXY3bT5GF4ScRCJTDhZGeiCVqLJ3bb1LDd7IUDe_CRVGdryBCuUWrb-1UO"/>
                          <pic:cNvPicPr>
                            <a:picLocks noChangeAspect="1" noChangeArrowheads="1"/>
                          </pic:cNvPicPr>
                        </pic:nvPicPr>
                        <pic:blipFill>
                          <a:blip r:embed="rId8" cstate="print"/>
                          <a:srcRect/>
                          <a:stretch>
                            <a:fillRect/>
                          </a:stretch>
                        </pic:blipFill>
                        <pic:spPr bwMode="auto">
                          <a:xfrm>
                            <a:off x="0" y="0"/>
                            <a:ext cx="5352079" cy="3432192"/>
                          </a:xfrm>
                          <a:prstGeom prst="rect">
                            <a:avLst/>
                          </a:prstGeom>
                          <a:noFill/>
                          <a:ln w="9525">
                            <a:noFill/>
                            <a:miter lim="800000"/>
                            <a:headEnd/>
                            <a:tailEnd/>
                          </a:ln>
                        </pic:spPr>
                      </pic:pic>
                    </a:graphicData>
                  </a:graphic>
                </wp:inline>
              </w:drawing>
            </w:r>
          </w:p>
          <w:p w:rsidR="001C6EA3" w:rsidRDefault="001C6EA3" w:rsidP="00EC6D7E">
            <w:pPr>
              <w:pStyle w:val="NormalWeb"/>
              <w:spacing w:before="0" w:beforeAutospacing="0" w:after="0" w:afterAutospacing="0"/>
              <w:rPr>
                <w:b/>
                <w:i/>
                <w:sz w:val="20"/>
                <w:szCs w:val="20"/>
              </w:rPr>
            </w:pPr>
          </w:p>
          <w:p w:rsidR="001C6EA3" w:rsidRDefault="001C6EA3" w:rsidP="00EC6D7E">
            <w:pPr>
              <w:pStyle w:val="NormalWeb"/>
              <w:spacing w:before="0" w:beforeAutospacing="0" w:after="0" w:afterAutospacing="0"/>
            </w:pPr>
            <w:r w:rsidRPr="008D07EA">
              <w:rPr>
                <w:b/>
                <w:i/>
                <w:sz w:val="20"/>
                <w:szCs w:val="20"/>
              </w:rPr>
              <w:t>Figure:</w:t>
            </w:r>
            <w:r>
              <w:rPr>
                <w:b/>
                <w:i/>
              </w:rPr>
              <w:t xml:space="preserve"> </w:t>
            </w:r>
            <w:r>
              <w:rPr>
                <w:b/>
                <w:bCs/>
                <w:i/>
                <w:iCs/>
                <w:color w:val="000000"/>
                <w:sz w:val="20"/>
                <w:szCs w:val="20"/>
              </w:rPr>
              <w:t xml:space="preserve">An approach to the diagnostic use of echocardiography </w:t>
            </w:r>
            <w:r>
              <w:rPr>
                <w:color w:val="000000"/>
                <w:sz w:val="20"/>
                <w:szCs w:val="20"/>
              </w:rPr>
              <w:t>(Reproduced from Bayer et al.)</w:t>
            </w:r>
          </w:p>
          <w:p w:rsidR="001C6EA3" w:rsidRDefault="001C6EA3" w:rsidP="00EC6D7E"/>
        </w:tc>
      </w:tr>
    </w:tbl>
    <w:p w:rsidR="001C6EA3" w:rsidRDefault="001C6EA3" w:rsidP="001C6EA3"/>
    <w:p w:rsidR="001C6EA3" w:rsidRDefault="001C6EA3" w:rsidP="001C6EA3"/>
    <w:p w:rsidR="001C6EA3" w:rsidRPr="00E4459B" w:rsidRDefault="001C6EA3" w:rsidP="001C6EA3">
      <w:pPr>
        <w:jc w:val="center"/>
        <w:rPr>
          <w:b/>
          <w:u w:val="single"/>
        </w:rPr>
      </w:pPr>
      <w:r w:rsidRPr="00E4459B">
        <w:rPr>
          <w:b/>
          <w:u w:val="single"/>
        </w:rPr>
        <w:t>References</w:t>
      </w:r>
    </w:p>
    <w:p w:rsidR="001C6EA3" w:rsidRDefault="001C6EA3" w:rsidP="001C6EA3"/>
    <w:p w:rsidR="001C6EA3" w:rsidRPr="00E4459B" w:rsidRDefault="001C6EA3" w:rsidP="001C6EA3">
      <w:pPr>
        <w:pStyle w:val="NormalWeb"/>
        <w:spacing w:before="0" w:beforeAutospacing="0" w:after="0" w:afterAutospacing="0" w:line="480" w:lineRule="auto"/>
        <w:ind w:left="600" w:hanging="600"/>
        <w:rPr>
          <w:sz w:val="22"/>
          <w:szCs w:val="22"/>
        </w:rPr>
      </w:pPr>
      <w:proofErr w:type="spellStart"/>
      <w:r w:rsidRPr="00E4459B">
        <w:rPr>
          <w:color w:val="000000"/>
          <w:sz w:val="22"/>
          <w:szCs w:val="22"/>
        </w:rPr>
        <w:t>Baddour</w:t>
      </w:r>
      <w:proofErr w:type="spellEnd"/>
      <w:r w:rsidRPr="00E4459B">
        <w:rPr>
          <w:color w:val="000000"/>
          <w:sz w:val="22"/>
          <w:szCs w:val="22"/>
        </w:rPr>
        <w:t xml:space="preserve"> LM. Infective Endocarditis: Diagnosis, Antimicrobial Therapy, and Management of Complications: A Statement for Healthcare Professionals From the Committee on Rheumatic Fever, Endocarditis, and Kawasaki Disease, Council on Cardiovascular Disease in the Young, and the Councils on Clinical Cardiology, Stroke, and Cardiovascular Surgery and </w:t>
      </w:r>
      <w:proofErr w:type="spellStart"/>
      <w:r w:rsidRPr="00E4459B">
        <w:rPr>
          <w:color w:val="000000"/>
          <w:sz w:val="22"/>
          <w:szCs w:val="22"/>
        </w:rPr>
        <w:t>Anesthesia</w:t>
      </w:r>
      <w:proofErr w:type="spellEnd"/>
      <w:r w:rsidRPr="00E4459B">
        <w:rPr>
          <w:color w:val="000000"/>
          <w:sz w:val="22"/>
          <w:szCs w:val="22"/>
        </w:rPr>
        <w:t xml:space="preserve">, American Heart Association: Endorsed by the Infectious Diseases Society of America. </w:t>
      </w:r>
      <w:proofErr w:type="gramStart"/>
      <w:r w:rsidRPr="00E4459B">
        <w:rPr>
          <w:color w:val="000000"/>
          <w:sz w:val="22"/>
          <w:szCs w:val="22"/>
        </w:rPr>
        <w:t>Circulation.</w:t>
      </w:r>
      <w:proofErr w:type="gramEnd"/>
      <w:r w:rsidRPr="00E4459B">
        <w:rPr>
          <w:color w:val="000000"/>
          <w:sz w:val="22"/>
          <w:szCs w:val="22"/>
        </w:rPr>
        <w:t xml:space="preserve"> 2005Jun</w:t>
      </w:r>
      <w:proofErr w:type="gramStart"/>
      <w:r w:rsidRPr="00E4459B">
        <w:rPr>
          <w:color w:val="000000"/>
          <w:sz w:val="22"/>
          <w:szCs w:val="22"/>
        </w:rPr>
        <w:t>;111</w:t>
      </w:r>
      <w:proofErr w:type="gramEnd"/>
      <w:r w:rsidRPr="00E4459B">
        <w:rPr>
          <w:color w:val="000000"/>
          <w:sz w:val="22"/>
          <w:szCs w:val="22"/>
        </w:rPr>
        <w:t xml:space="preserve">(23). </w:t>
      </w:r>
    </w:p>
    <w:p w:rsidR="001C6EA3" w:rsidRPr="00E4459B" w:rsidRDefault="001C6EA3" w:rsidP="001C6EA3">
      <w:pPr>
        <w:pStyle w:val="NormalWeb"/>
        <w:spacing w:before="0" w:beforeAutospacing="0" w:after="0" w:afterAutospacing="0" w:line="480" w:lineRule="auto"/>
        <w:ind w:left="600" w:hanging="600"/>
        <w:rPr>
          <w:sz w:val="22"/>
          <w:szCs w:val="22"/>
        </w:rPr>
      </w:pPr>
      <w:r w:rsidRPr="00E4459B">
        <w:rPr>
          <w:color w:val="000000"/>
          <w:sz w:val="22"/>
          <w:szCs w:val="22"/>
        </w:rPr>
        <w:t xml:space="preserve">Barton TL, </w:t>
      </w:r>
      <w:proofErr w:type="spellStart"/>
      <w:r w:rsidRPr="00E4459B">
        <w:rPr>
          <w:color w:val="000000"/>
          <w:sz w:val="22"/>
          <w:szCs w:val="22"/>
        </w:rPr>
        <w:t>Mottram</w:t>
      </w:r>
      <w:proofErr w:type="spellEnd"/>
      <w:r w:rsidRPr="00E4459B">
        <w:rPr>
          <w:color w:val="000000"/>
          <w:sz w:val="22"/>
          <w:szCs w:val="22"/>
        </w:rPr>
        <w:t xml:space="preserve"> PM, Stuart RL, Cameron JD, </w:t>
      </w:r>
      <w:proofErr w:type="spellStart"/>
      <w:r w:rsidRPr="00E4459B">
        <w:rPr>
          <w:color w:val="000000"/>
          <w:sz w:val="22"/>
          <w:szCs w:val="22"/>
        </w:rPr>
        <w:t>Moir</w:t>
      </w:r>
      <w:proofErr w:type="spellEnd"/>
      <w:r w:rsidRPr="00E4459B">
        <w:rPr>
          <w:color w:val="000000"/>
          <w:sz w:val="22"/>
          <w:szCs w:val="22"/>
        </w:rPr>
        <w:t xml:space="preserve"> S. Transthoracic Echocardiography Is Still Useful in the Initial Evaluation of Patients With Suspected Infective Endocarditis: </w:t>
      </w:r>
      <w:r w:rsidRPr="00E4459B">
        <w:rPr>
          <w:color w:val="000000"/>
          <w:sz w:val="22"/>
          <w:szCs w:val="22"/>
        </w:rPr>
        <w:lastRenderedPageBreak/>
        <w:t xml:space="preserve">Evaluation of a Large Cohort at a Tertiary Referral </w:t>
      </w:r>
      <w:proofErr w:type="spellStart"/>
      <w:r w:rsidRPr="00E4459B">
        <w:rPr>
          <w:color w:val="000000"/>
          <w:sz w:val="22"/>
          <w:szCs w:val="22"/>
        </w:rPr>
        <w:t>Center</w:t>
      </w:r>
      <w:proofErr w:type="spellEnd"/>
      <w:r w:rsidRPr="00E4459B">
        <w:rPr>
          <w:color w:val="000000"/>
          <w:sz w:val="22"/>
          <w:szCs w:val="22"/>
        </w:rPr>
        <w:t xml:space="preserve">. </w:t>
      </w:r>
      <w:proofErr w:type="gramStart"/>
      <w:r w:rsidRPr="00E4459B">
        <w:rPr>
          <w:color w:val="000000"/>
          <w:sz w:val="22"/>
          <w:szCs w:val="22"/>
        </w:rPr>
        <w:t>Mayo Clinic Proceedings.</w:t>
      </w:r>
      <w:proofErr w:type="gramEnd"/>
      <w:r w:rsidRPr="00E4459B">
        <w:rPr>
          <w:color w:val="000000"/>
          <w:sz w:val="22"/>
          <w:szCs w:val="22"/>
        </w:rPr>
        <w:t xml:space="preserve"> 2014</w:t>
      </w:r>
      <w:proofErr w:type="gramStart"/>
      <w:r w:rsidRPr="00E4459B">
        <w:rPr>
          <w:color w:val="000000"/>
          <w:sz w:val="22"/>
          <w:szCs w:val="22"/>
        </w:rPr>
        <w:t>;89</w:t>
      </w:r>
      <w:proofErr w:type="gramEnd"/>
      <w:r w:rsidRPr="00E4459B">
        <w:rPr>
          <w:color w:val="000000"/>
          <w:sz w:val="22"/>
          <w:szCs w:val="22"/>
        </w:rPr>
        <w:t xml:space="preserve">(6):799–805. </w:t>
      </w:r>
    </w:p>
    <w:p w:rsidR="001C6EA3" w:rsidRPr="00E4459B" w:rsidRDefault="001C6EA3" w:rsidP="001C6EA3">
      <w:pPr>
        <w:pStyle w:val="NormalWeb"/>
        <w:spacing w:before="0" w:beforeAutospacing="0" w:after="0" w:afterAutospacing="0" w:line="480" w:lineRule="auto"/>
        <w:ind w:left="600" w:hanging="600"/>
        <w:rPr>
          <w:sz w:val="22"/>
          <w:szCs w:val="22"/>
        </w:rPr>
      </w:pPr>
      <w:proofErr w:type="gramStart"/>
      <w:r w:rsidRPr="00E4459B">
        <w:rPr>
          <w:color w:val="000000"/>
          <w:sz w:val="22"/>
          <w:szCs w:val="22"/>
        </w:rPr>
        <w:t>Bayer, Arnold S et al. "Diagnosis and management of infective endocarditis and its complications."</w:t>
      </w:r>
      <w:proofErr w:type="gramEnd"/>
      <w:r w:rsidRPr="00E4459B">
        <w:rPr>
          <w:color w:val="000000"/>
          <w:sz w:val="22"/>
          <w:szCs w:val="22"/>
        </w:rPr>
        <w:t xml:space="preserve"> </w:t>
      </w:r>
      <w:r w:rsidRPr="00E4459B">
        <w:rPr>
          <w:i/>
          <w:iCs/>
          <w:color w:val="000000"/>
          <w:sz w:val="22"/>
          <w:szCs w:val="22"/>
        </w:rPr>
        <w:t>Circulation</w:t>
      </w:r>
      <w:r w:rsidRPr="00E4459B">
        <w:rPr>
          <w:color w:val="000000"/>
          <w:sz w:val="22"/>
          <w:szCs w:val="22"/>
        </w:rPr>
        <w:t xml:space="preserve"> 98.25 (1998): 2936-2948.</w:t>
      </w:r>
    </w:p>
    <w:p w:rsidR="001C6EA3" w:rsidRPr="00E4459B" w:rsidRDefault="001C6EA3" w:rsidP="001C6EA3">
      <w:pPr>
        <w:pStyle w:val="NormalWeb"/>
        <w:spacing w:before="0" w:beforeAutospacing="0" w:after="0" w:afterAutospacing="0" w:line="480" w:lineRule="auto"/>
        <w:ind w:left="630" w:hanging="630"/>
        <w:rPr>
          <w:sz w:val="22"/>
          <w:szCs w:val="22"/>
        </w:rPr>
      </w:pPr>
      <w:proofErr w:type="spellStart"/>
      <w:proofErr w:type="gramStart"/>
      <w:r w:rsidRPr="00E4459B">
        <w:rPr>
          <w:color w:val="000000"/>
          <w:sz w:val="22"/>
          <w:szCs w:val="22"/>
        </w:rPr>
        <w:t>Cecchi</w:t>
      </w:r>
      <w:proofErr w:type="spellEnd"/>
      <w:r w:rsidRPr="00E4459B">
        <w:rPr>
          <w:color w:val="000000"/>
          <w:sz w:val="22"/>
          <w:szCs w:val="22"/>
        </w:rPr>
        <w:t xml:space="preserve">, </w:t>
      </w:r>
      <w:proofErr w:type="spellStart"/>
      <w:r w:rsidRPr="00E4459B">
        <w:rPr>
          <w:color w:val="000000"/>
          <w:sz w:val="22"/>
          <w:szCs w:val="22"/>
        </w:rPr>
        <w:t>Enrico</w:t>
      </w:r>
      <w:proofErr w:type="spellEnd"/>
      <w:r w:rsidRPr="00E4459B">
        <w:rPr>
          <w:color w:val="000000"/>
          <w:sz w:val="22"/>
          <w:szCs w:val="22"/>
        </w:rPr>
        <w:t xml:space="preserve"> et al. "The diagnostic utility of transthoracic echocardiography for the diagnosis of infective endocarditis in the real world of the Italian Registry on Infective Endocarditis."</w:t>
      </w:r>
      <w:proofErr w:type="gramEnd"/>
      <w:r w:rsidRPr="00E4459B">
        <w:rPr>
          <w:color w:val="000000"/>
          <w:sz w:val="22"/>
          <w:szCs w:val="22"/>
        </w:rPr>
        <w:t xml:space="preserve"> </w:t>
      </w:r>
      <w:r w:rsidRPr="00E4459B">
        <w:rPr>
          <w:i/>
          <w:iCs/>
          <w:color w:val="000000"/>
          <w:sz w:val="22"/>
          <w:szCs w:val="22"/>
        </w:rPr>
        <w:t>Echocardiography</w:t>
      </w:r>
      <w:r w:rsidRPr="00E4459B">
        <w:rPr>
          <w:color w:val="000000"/>
          <w:sz w:val="22"/>
          <w:szCs w:val="22"/>
        </w:rPr>
        <w:t xml:space="preserve"> 30.8 (2013): 871-879.</w:t>
      </w:r>
    </w:p>
    <w:p w:rsidR="001C6EA3" w:rsidRPr="00E4459B" w:rsidRDefault="001C6EA3" w:rsidP="001C6EA3">
      <w:pPr>
        <w:pStyle w:val="NormalWeb"/>
        <w:spacing w:before="0" w:beforeAutospacing="0" w:after="0" w:afterAutospacing="0" w:line="480" w:lineRule="auto"/>
        <w:ind w:left="600" w:hanging="600"/>
        <w:rPr>
          <w:sz w:val="22"/>
          <w:szCs w:val="22"/>
        </w:rPr>
      </w:pPr>
      <w:proofErr w:type="gramStart"/>
      <w:r w:rsidRPr="00E4459B">
        <w:rPr>
          <w:color w:val="000000"/>
          <w:sz w:val="22"/>
          <w:szCs w:val="22"/>
        </w:rPr>
        <w:t>European Heart Journal [Internet].</w:t>
      </w:r>
      <w:proofErr w:type="gramEnd"/>
      <w:r w:rsidRPr="00E4459B">
        <w:rPr>
          <w:color w:val="000000"/>
          <w:sz w:val="22"/>
          <w:szCs w:val="22"/>
        </w:rPr>
        <w:t xml:space="preserve"> </w:t>
      </w:r>
      <w:proofErr w:type="gramStart"/>
      <w:r w:rsidRPr="00E4459B">
        <w:rPr>
          <w:color w:val="000000"/>
          <w:sz w:val="22"/>
          <w:szCs w:val="22"/>
        </w:rPr>
        <w:t>2015 ESC Guidelines for the management of infective endocarditis.</w:t>
      </w:r>
      <w:proofErr w:type="gramEnd"/>
      <w:r w:rsidRPr="00E4459B">
        <w:rPr>
          <w:color w:val="000000"/>
          <w:sz w:val="22"/>
          <w:szCs w:val="22"/>
        </w:rPr>
        <w:t xml:space="preserve"> [</w:t>
      </w:r>
      <w:proofErr w:type="gramStart"/>
      <w:r w:rsidRPr="00E4459B">
        <w:rPr>
          <w:color w:val="000000"/>
          <w:sz w:val="22"/>
          <w:szCs w:val="22"/>
        </w:rPr>
        <w:t>cited</w:t>
      </w:r>
      <w:proofErr w:type="gramEnd"/>
      <w:r w:rsidRPr="00E4459B">
        <w:rPr>
          <w:color w:val="000000"/>
          <w:sz w:val="22"/>
          <w:szCs w:val="22"/>
        </w:rPr>
        <w:t xml:space="preserve"> 2016Feb28]. Retrieved from: http://eurheartj.oxfordjournals.org/content/early/2015/08/28/eurheartj.ehv319</w:t>
      </w:r>
    </w:p>
    <w:p w:rsidR="001C6EA3" w:rsidRPr="00E4459B" w:rsidRDefault="001C6EA3" w:rsidP="001C6EA3">
      <w:pPr>
        <w:pStyle w:val="NormalWeb"/>
        <w:spacing w:before="0" w:beforeAutospacing="0" w:after="0" w:afterAutospacing="0" w:line="480" w:lineRule="auto"/>
        <w:ind w:left="600" w:hanging="600"/>
        <w:rPr>
          <w:sz w:val="22"/>
          <w:szCs w:val="22"/>
        </w:rPr>
      </w:pPr>
      <w:proofErr w:type="gramStart"/>
      <w:r w:rsidRPr="00E4459B">
        <w:rPr>
          <w:color w:val="000000"/>
          <w:sz w:val="22"/>
          <w:szCs w:val="22"/>
        </w:rPr>
        <w:t>Greaves, K et al. "Clinical criteria and the appropriate use of transthoracic echocardiography for the exclusion of infective endocarditis."</w:t>
      </w:r>
      <w:proofErr w:type="gramEnd"/>
      <w:r w:rsidRPr="00E4459B">
        <w:rPr>
          <w:color w:val="000000"/>
          <w:sz w:val="22"/>
          <w:szCs w:val="22"/>
        </w:rPr>
        <w:t xml:space="preserve"> </w:t>
      </w:r>
      <w:r w:rsidRPr="00E4459B">
        <w:rPr>
          <w:i/>
          <w:iCs/>
          <w:color w:val="000000"/>
          <w:sz w:val="22"/>
          <w:szCs w:val="22"/>
        </w:rPr>
        <w:t>Heart</w:t>
      </w:r>
      <w:r w:rsidRPr="00E4459B">
        <w:rPr>
          <w:color w:val="000000"/>
          <w:sz w:val="22"/>
          <w:szCs w:val="22"/>
        </w:rPr>
        <w:t xml:space="preserve"> 89.3 (2003): 273-275.</w:t>
      </w:r>
    </w:p>
    <w:p w:rsidR="001C6EA3" w:rsidRPr="00E4459B" w:rsidRDefault="001C6EA3" w:rsidP="001C6EA3">
      <w:pPr>
        <w:pStyle w:val="NormalWeb"/>
        <w:spacing w:before="0" w:beforeAutospacing="0" w:after="0" w:afterAutospacing="0" w:line="480" w:lineRule="auto"/>
        <w:ind w:left="600" w:hanging="600"/>
        <w:rPr>
          <w:sz w:val="22"/>
          <w:szCs w:val="22"/>
        </w:rPr>
      </w:pPr>
      <w:proofErr w:type="spellStart"/>
      <w:r w:rsidRPr="00E4459B">
        <w:rPr>
          <w:color w:val="000000"/>
          <w:sz w:val="22"/>
          <w:szCs w:val="22"/>
        </w:rPr>
        <w:t>Habib</w:t>
      </w:r>
      <w:proofErr w:type="spellEnd"/>
      <w:r w:rsidRPr="00E4459B">
        <w:rPr>
          <w:color w:val="000000"/>
          <w:sz w:val="22"/>
          <w:szCs w:val="22"/>
        </w:rPr>
        <w:t xml:space="preserve"> G, </w:t>
      </w:r>
      <w:proofErr w:type="spellStart"/>
      <w:r w:rsidRPr="00E4459B">
        <w:rPr>
          <w:color w:val="000000"/>
          <w:sz w:val="22"/>
          <w:szCs w:val="22"/>
        </w:rPr>
        <w:t>Badano</w:t>
      </w:r>
      <w:proofErr w:type="spellEnd"/>
      <w:r w:rsidRPr="00E4459B">
        <w:rPr>
          <w:color w:val="000000"/>
          <w:sz w:val="22"/>
          <w:szCs w:val="22"/>
        </w:rPr>
        <w:t xml:space="preserve"> L, </w:t>
      </w:r>
      <w:proofErr w:type="spellStart"/>
      <w:r w:rsidRPr="00E4459B">
        <w:rPr>
          <w:color w:val="000000"/>
          <w:sz w:val="22"/>
          <w:szCs w:val="22"/>
        </w:rPr>
        <w:t>Tribouilloy</w:t>
      </w:r>
      <w:proofErr w:type="spellEnd"/>
      <w:r w:rsidRPr="00E4459B">
        <w:rPr>
          <w:color w:val="000000"/>
          <w:sz w:val="22"/>
          <w:szCs w:val="22"/>
        </w:rPr>
        <w:t xml:space="preserve"> C, </w:t>
      </w:r>
      <w:proofErr w:type="spellStart"/>
      <w:r w:rsidRPr="00E4459B">
        <w:rPr>
          <w:color w:val="000000"/>
          <w:sz w:val="22"/>
          <w:szCs w:val="22"/>
        </w:rPr>
        <w:t>Vilacosta</w:t>
      </w:r>
      <w:proofErr w:type="spellEnd"/>
      <w:r w:rsidRPr="00E4459B">
        <w:rPr>
          <w:color w:val="000000"/>
          <w:sz w:val="22"/>
          <w:szCs w:val="22"/>
        </w:rPr>
        <w:t xml:space="preserve"> I, </w:t>
      </w:r>
      <w:proofErr w:type="spellStart"/>
      <w:r w:rsidRPr="00E4459B">
        <w:rPr>
          <w:color w:val="000000"/>
          <w:sz w:val="22"/>
          <w:szCs w:val="22"/>
        </w:rPr>
        <w:t>Zamorano</w:t>
      </w:r>
      <w:proofErr w:type="spellEnd"/>
      <w:r w:rsidRPr="00E4459B">
        <w:rPr>
          <w:color w:val="000000"/>
          <w:sz w:val="22"/>
          <w:szCs w:val="22"/>
        </w:rPr>
        <w:t xml:space="preserve"> JL, </w:t>
      </w:r>
      <w:proofErr w:type="spellStart"/>
      <w:r w:rsidRPr="00E4459B">
        <w:rPr>
          <w:color w:val="000000"/>
          <w:sz w:val="22"/>
          <w:szCs w:val="22"/>
        </w:rPr>
        <w:t>Galderisi</w:t>
      </w:r>
      <w:proofErr w:type="spellEnd"/>
      <w:r w:rsidRPr="00E4459B">
        <w:rPr>
          <w:color w:val="000000"/>
          <w:sz w:val="22"/>
          <w:szCs w:val="22"/>
        </w:rPr>
        <w:t xml:space="preserve"> M, et al. Recommendations for the practice of echocardiography in infective endocarditis. </w:t>
      </w:r>
      <w:proofErr w:type="gramStart"/>
      <w:r w:rsidRPr="00E4459B">
        <w:rPr>
          <w:color w:val="000000"/>
          <w:sz w:val="22"/>
          <w:szCs w:val="22"/>
        </w:rPr>
        <w:t>European Journal of Echocardiography.</w:t>
      </w:r>
      <w:proofErr w:type="gramEnd"/>
      <w:r w:rsidRPr="00E4459B">
        <w:rPr>
          <w:color w:val="000000"/>
          <w:sz w:val="22"/>
          <w:szCs w:val="22"/>
        </w:rPr>
        <w:t xml:space="preserve"> 2010Jan</w:t>
      </w:r>
      <w:proofErr w:type="gramStart"/>
      <w:r w:rsidRPr="00E4459B">
        <w:rPr>
          <w:color w:val="000000"/>
          <w:sz w:val="22"/>
          <w:szCs w:val="22"/>
        </w:rPr>
        <w:t>;11</w:t>
      </w:r>
      <w:proofErr w:type="gramEnd"/>
      <w:r w:rsidRPr="00E4459B">
        <w:rPr>
          <w:color w:val="000000"/>
          <w:sz w:val="22"/>
          <w:szCs w:val="22"/>
        </w:rPr>
        <w:t xml:space="preserve">(2):202–19. </w:t>
      </w:r>
    </w:p>
    <w:p w:rsidR="001C6EA3" w:rsidRPr="00E4459B" w:rsidRDefault="001C6EA3" w:rsidP="001C6EA3">
      <w:pPr>
        <w:pStyle w:val="NormalWeb"/>
        <w:spacing w:before="0" w:beforeAutospacing="0" w:after="0" w:afterAutospacing="0" w:line="480" w:lineRule="auto"/>
        <w:ind w:left="600" w:hanging="600"/>
        <w:rPr>
          <w:sz w:val="22"/>
          <w:szCs w:val="22"/>
        </w:rPr>
      </w:pPr>
      <w:proofErr w:type="spellStart"/>
      <w:proofErr w:type="gramStart"/>
      <w:r w:rsidRPr="00E4459B">
        <w:rPr>
          <w:color w:val="000000"/>
          <w:sz w:val="22"/>
          <w:szCs w:val="22"/>
        </w:rPr>
        <w:t>Sivak</w:t>
      </w:r>
      <w:proofErr w:type="spellEnd"/>
      <w:r w:rsidRPr="00E4459B">
        <w:rPr>
          <w:color w:val="000000"/>
          <w:sz w:val="22"/>
          <w:szCs w:val="22"/>
        </w:rPr>
        <w:t xml:space="preserve"> JA, </w:t>
      </w:r>
      <w:proofErr w:type="spellStart"/>
      <w:r w:rsidRPr="00E4459B">
        <w:rPr>
          <w:color w:val="000000"/>
          <w:sz w:val="22"/>
          <w:szCs w:val="22"/>
        </w:rPr>
        <w:t>Vora</w:t>
      </w:r>
      <w:proofErr w:type="spellEnd"/>
      <w:r w:rsidRPr="00E4459B">
        <w:rPr>
          <w:color w:val="000000"/>
          <w:sz w:val="22"/>
          <w:szCs w:val="22"/>
        </w:rPr>
        <w:t xml:space="preserve"> AN, </w:t>
      </w:r>
      <w:proofErr w:type="spellStart"/>
      <w:r w:rsidRPr="00E4459B">
        <w:rPr>
          <w:color w:val="000000"/>
          <w:sz w:val="22"/>
          <w:szCs w:val="22"/>
        </w:rPr>
        <w:t>Navar</w:t>
      </w:r>
      <w:proofErr w:type="spellEnd"/>
      <w:r w:rsidRPr="00E4459B">
        <w:rPr>
          <w:color w:val="000000"/>
          <w:sz w:val="22"/>
          <w:szCs w:val="22"/>
        </w:rPr>
        <w:t xml:space="preserve"> AM, Schulte PJ, Crowley AL, </w:t>
      </w:r>
      <w:proofErr w:type="spellStart"/>
      <w:r w:rsidRPr="00E4459B">
        <w:rPr>
          <w:color w:val="000000"/>
          <w:sz w:val="22"/>
          <w:szCs w:val="22"/>
        </w:rPr>
        <w:t>Kisslo</w:t>
      </w:r>
      <w:proofErr w:type="spellEnd"/>
      <w:r w:rsidRPr="00E4459B">
        <w:rPr>
          <w:color w:val="000000"/>
          <w:sz w:val="22"/>
          <w:szCs w:val="22"/>
        </w:rPr>
        <w:t xml:space="preserve"> J, et al.</w:t>
      </w:r>
      <w:proofErr w:type="gramEnd"/>
      <w:r w:rsidRPr="00E4459B">
        <w:rPr>
          <w:color w:val="000000"/>
          <w:sz w:val="22"/>
          <w:szCs w:val="22"/>
        </w:rPr>
        <w:t xml:space="preserve"> </w:t>
      </w:r>
      <w:proofErr w:type="gramStart"/>
      <w:r w:rsidRPr="00E4459B">
        <w:rPr>
          <w:color w:val="000000"/>
          <w:sz w:val="22"/>
          <w:szCs w:val="22"/>
        </w:rPr>
        <w:t>An Approach to Improve the Negative Predictive Value and Clinical Utility of Transthoracic Echocardiography in Suspected Native Valve Infective Endocarditis.</w:t>
      </w:r>
      <w:proofErr w:type="gramEnd"/>
      <w:r w:rsidRPr="00E4459B">
        <w:rPr>
          <w:color w:val="000000"/>
          <w:sz w:val="22"/>
          <w:szCs w:val="22"/>
        </w:rPr>
        <w:t xml:space="preserve"> </w:t>
      </w:r>
      <w:proofErr w:type="gramStart"/>
      <w:r w:rsidRPr="00E4459B">
        <w:rPr>
          <w:color w:val="000000"/>
          <w:sz w:val="22"/>
          <w:szCs w:val="22"/>
        </w:rPr>
        <w:t>Journal of the American Society of Echocardiography.</w:t>
      </w:r>
      <w:proofErr w:type="gramEnd"/>
      <w:r w:rsidRPr="00E4459B">
        <w:rPr>
          <w:color w:val="000000"/>
          <w:sz w:val="22"/>
          <w:szCs w:val="22"/>
        </w:rPr>
        <w:t xml:space="preserve"> 2016; </w:t>
      </w:r>
    </w:p>
    <w:p w:rsidR="001C6EA3" w:rsidRPr="00E4459B" w:rsidRDefault="001C6EA3" w:rsidP="001C6EA3">
      <w:pPr>
        <w:pStyle w:val="NormalWeb"/>
        <w:spacing w:before="0" w:beforeAutospacing="0" w:after="0" w:afterAutospacing="0" w:line="480" w:lineRule="auto"/>
        <w:ind w:left="600" w:hanging="600"/>
        <w:rPr>
          <w:sz w:val="22"/>
          <w:szCs w:val="22"/>
        </w:rPr>
      </w:pPr>
      <w:proofErr w:type="spellStart"/>
      <w:r w:rsidRPr="00E4459B">
        <w:rPr>
          <w:color w:val="000000"/>
          <w:sz w:val="22"/>
          <w:szCs w:val="22"/>
        </w:rPr>
        <w:t>Thuny</w:t>
      </w:r>
      <w:proofErr w:type="spellEnd"/>
      <w:r w:rsidRPr="00E4459B">
        <w:rPr>
          <w:color w:val="000000"/>
          <w:sz w:val="22"/>
          <w:szCs w:val="22"/>
        </w:rPr>
        <w:t xml:space="preserve">, Franck et al. "Imaging investigations in infective endocarditis: current approach and perspectives." </w:t>
      </w:r>
      <w:r w:rsidRPr="00E4459B">
        <w:rPr>
          <w:i/>
          <w:iCs/>
          <w:color w:val="000000"/>
          <w:sz w:val="22"/>
          <w:szCs w:val="22"/>
        </w:rPr>
        <w:t>Archives of cardiovascular diseases</w:t>
      </w:r>
      <w:r w:rsidRPr="00E4459B">
        <w:rPr>
          <w:color w:val="000000"/>
          <w:sz w:val="22"/>
          <w:szCs w:val="22"/>
        </w:rPr>
        <w:t xml:space="preserve"> 106.1 (2013): 52-62.</w:t>
      </w:r>
    </w:p>
    <w:p w:rsidR="001C6EA3" w:rsidRDefault="001C6EA3" w:rsidP="001C6EA3"/>
    <w:p w:rsidR="001C6EA3" w:rsidRDefault="001C6EA3" w:rsidP="001C6EA3"/>
    <w:p w:rsidR="004A79B4" w:rsidRDefault="004A79B4"/>
    <w:sectPr w:rsidR="004A79B4" w:rsidSect="001C6EA3">
      <w:headerReference w:type="default" r:id="rId9"/>
      <w:pgSz w:w="11906" w:h="16838"/>
      <w:pgMar w:top="1440" w:right="1558"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34" w:rsidRDefault="00FF3A34" w:rsidP="001C6EA3">
      <w:r>
        <w:separator/>
      </w:r>
    </w:p>
  </w:endnote>
  <w:endnote w:type="continuationSeparator" w:id="0">
    <w:p w:rsidR="00FF3A34" w:rsidRDefault="00FF3A34" w:rsidP="001C6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34" w:rsidRDefault="00FF3A34" w:rsidP="001C6EA3">
      <w:r>
        <w:separator/>
      </w:r>
    </w:p>
  </w:footnote>
  <w:footnote w:type="continuationSeparator" w:id="0">
    <w:p w:rsidR="00FF3A34" w:rsidRDefault="00FF3A34" w:rsidP="001C6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AC" w:rsidRDefault="00FF3A34">
    <w:pPr>
      <w:pStyle w:val="Header"/>
    </w:pPr>
  </w:p>
  <w:p w:rsidR="005524AC" w:rsidRDefault="00FF3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53B"/>
    <w:multiLevelType w:val="multilevel"/>
    <w:tmpl w:val="21BCAC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C6EA3"/>
    <w:rsid w:val="001C6EA3"/>
    <w:rsid w:val="004A79B4"/>
    <w:rsid w:val="00904359"/>
    <w:rsid w:val="00FF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EA3"/>
    <w:pPr>
      <w:tabs>
        <w:tab w:val="center" w:pos="4513"/>
        <w:tab w:val="right" w:pos="9026"/>
      </w:tabs>
    </w:pPr>
  </w:style>
  <w:style w:type="character" w:customStyle="1" w:styleId="HeaderChar">
    <w:name w:val="Header Char"/>
    <w:basedOn w:val="DefaultParagraphFont"/>
    <w:link w:val="Header"/>
    <w:uiPriority w:val="99"/>
    <w:rsid w:val="001C6EA3"/>
    <w:rPr>
      <w:rFonts w:ascii="Times New Roman" w:eastAsia="Times New Roman" w:hAnsi="Times New Roman" w:cs="Times New Roman"/>
      <w:sz w:val="24"/>
      <w:szCs w:val="24"/>
      <w:lang w:eastAsia="en-GB"/>
    </w:rPr>
  </w:style>
  <w:style w:type="paragraph" w:customStyle="1" w:styleId="normal0">
    <w:name w:val="normal"/>
    <w:rsid w:val="001C6EA3"/>
    <w:pPr>
      <w:spacing w:after="0"/>
    </w:pPr>
    <w:rPr>
      <w:rFonts w:ascii="Arial" w:eastAsia="Arial" w:hAnsi="Arial" w:cs="Arial"/>
      <w:color w:val="000000"/>
      <w:lang w:eastAsia="en-GB"/>
    </w:rPr>
  </w:style>
  <w:style w:type="paragraph" w:styleId="NormalWeb">
    <w:name w:val="Normal (Web)"/>
    <w:basedOn w:val="Normal"/>
    <w:uiPriority w:val="99"/>
    <w:semiHidden/>
    <w:unhideWhenUsed/>
    <w:rsid w:val="001C6EA3"/>
    <w:pPr>
      <w:spacing w:before="100" w:beforeAutospacing="1" w:after="100" w:afterAutospacing="1"/>
    </w:pPr>
  </w:style>
  <w:style w:type="paragraph" w:styleId="BalloonText">
    <w:name w:val="Balloon Text"/>
    <w:basedOn w:val="Normal"/>
    <w:link w:val="BalloonTextChar"/>
    <w:uiPriority w:val="99"/>
    <w:semiHidden/>
    <w:unhideWhenUsed/>
    <w:rsid w:val="001C6EA3"/>
    <w:rPr>
      <w:rFonts w:ascii="Tahoma" w:hAnsi="Tahoma" w:cs="Tahoma"/>
      <w:sz w:val="16"/>
      <w:szCs w:val="16"/>
    </w:rPr>
  </w:style>
  <w:style w:type="character" w:customStyle="1" w:styleId="BalloonTextChar">
    <w:name w:val="Balloon Text Char"/>
    <w:basedOn w:val="DefaultParagraphFont"/>
    <w:link w:val="BalloonText"/>
    <w:uiPriority w:val="99"/>
    <w:semiHidden/>
    <w:rsid w:val="001C6EA3"/>
    <w:rPr>
      <w:rFonts w:ascii="Tahoma" w:eastAsia="Times New Roman" w:hAnsi="Tahoma" w:cs="Tahoma"/>
      <w:sz w:val="16"/>
      <w:szCs w:val="16"/>
      <w:lang w:eastAsia="en-GB"/>
    </w:rPr>
  </w:style>
  <w:style w:type="paragraph" w:styleId="Footer">
    <w:name w:val="footer"/>
    <w:basedOn w:val="Normal"/>
    <w:link w:val="FooterChar"/>
    <w:uiPriority w:val="99"/>
    <w:semiHidden/>
    <w:unhideWhenUsed/>
    <w:rsid w:val="001C6EA3"/>
    <w:pPr>
      <w:tabs>
        <w:tab w:val="center" w:pos="4513"/>
        <w:tab w:val="right" w:pos="9026"/>
      </w:tabs>
    </w:pPr>
  </w:style>
  <w:style w:type="character" w:customStyle="1" w:styleId="FooterChar">
    <w:name w:val="Footer Char"/>
    <w:basedOn w:val="DefaultParagraphFont"/>
    <w:link w:val="Footer"/>
    <w:uiPriority w:val="99"/>
    <w:semiHidden/>
    <w:rsid w:val="001C6EA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6E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revor.tabone@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Tabone</dc:creator>
  <cp:keywords/>
  <dc:description/>
  <cp:lastModifiedBy>Trevor Tabone</cp:lastModifiedBy>
  <cp:revision>2</cp:revision>
  <dcterms:created xsi:type="dcterms:W3CDTF">2016-08-24T15:34:00Z</dcterms:created>
  <dcterms:modified xsi:type="dcterms:W3CDTF">2016-08-24T15:40:00Z</dcterms:modified>
</cp:coreProperties>
</file>